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EE7" w:rsidRPr="00C04E1C" w:rsidRDefault="009F6EE7" w:rsidP="00EB61FE">
      <w:pPr>
        <w:tabs>
          <w:tab w:val="left" w:pos="0"/>
        </w:tabs>
        <w:ind w:left="6237" w:firstLine="0"/>
        <w:rPr>
          <w:rFonts w:eastAsiaTheme="minorHAnsi" w:cs="Times New Roman"/>
          <w:szCs w:val="28"/>
        </w:rPr>
      </w:pPr>
      <w:bookmarkStart w:id="0" w:name="_GoBack"/>
      <w:bookmarkEnd w:id="0"/>
      <w:r w:rsidRPr="00C04E1C">
        <w:rPr>
          <w:szCs w:val="28"/>
          <w:lang w:eastAsia="ru-RU"/>
        </w:rPr>
        <w:t>П</w:t>
      </w:r>
      <w:r w:rsidR="001B332A">
        <w:rPr>
          <w:szCs w:val="28"/>
          <w:lang w:eastAsia="ru-RU"/>
        </w:rPr>
        <w:t>РОЕКТ</w:t>
      </w:r>
    </w:p>
    <w:p w:rsidR="009F6EE7" w:rsidRPr="00C04E1C" w:rsidRDefault="009F6EE7" w:rsidP="009F6EE7">
      <w:pPr>
        <w:autoSpaceDE w:val="0"/>
        <w:autoSpaceDN w:val="0"/>
        <w:adjustRightInd w:val="0"/>
        <w:ind w:firstLine="0"/>
        <w:jc w:val="center"/>
        <w:rPr>
          <w:rFonts w:eastAsiaTheme="minorHAnsi" w:cs="Times New Roman"/>
          <w:szCs w:val="28"/>
        </w:rPr>
      </w:pPr>
    </w:p>
    <w:p w:rsidR="009F6EE7" w:rsidRPr="00C04E1C" w:rsidRDefault="00EB61FE" w:rsidP="009F6EE7">
      <w:pPr>
        <w:autoSpaceDE w:val="0"/>
        <w:autoSpaceDN w:val="0"/>
        <w:adjustRightInd w:val="0"/>
        <w:ind w:firstLine="0"/>
        <w:jc w:val="center"/>
        <w:rPr>
          <w:rFonts w:cs="Times New Roman"/>
          <w:b/>
          <w:szCs w:val="28"/>
          <w:lang w:eastAsia="ru-RU"/>
        </w:rPr>
      </w:pPr>
      <w:r w:rsidRPr="00C04E1C">
        <w:rPr>
          <w:rFonts w:cs="Times New Roman"/>
          <w:b/>
          <w:szCs w:val="28"/>
          <w:lang w:eastAsia="ru-RU"/>
        </w:rPr>
        <w:t>ПОРЯДОК</w:t>
      </w:r>
    </w:p>
    <w:p w:rsidR="009F6EE7" w:rsidRPr="00C04E1C" w:rsidRDefault="00EB61FE" w:rsidP="009F6EE7">
      <w:pPr>
        <w:autoSpaceDE w:val="0"/>
        <w:autoSpaceDN w:val="0"/>
        <w:adjustRightInd w:val="0"/>
        <w:ind w:firstLine="0"/>
        <w:jc w:val="center"/>
        <w:rPr>
          <w:rFonts w:cs="Times New Roman"/>
          <w:b/>
          <w:iCs/>
          <w:szCs w:val="28"/>
          <w:lang w:eastAsia="ru-RU"/>
        </w:rPr>
      </w:pPr>
      <w:r w:rsidRPr="00C04E1C">
        <w:rPr>
          <w:rFonts w:cs="Times New Roman"/>
          <w:b/>
          <w:szCs w:val="28"/>
          <w:lang w:eastAsia="ru-RU"/>
        </w:rPr>
        <w:t xml:space="preserve">ПРЕДОСТАВЛЕНИЯ И РАСПРЕДЕЛЕНИЯ СУБСИДИИ </w:t>
      </w:r>
      <w:r w:rsidRPr="00C04E1C">
        <w:rPr>
          <w:rFonts w:cs="Times New Roman"/>
          <w:b/>
          <w:iCs/>
          <w:szCs w:val="28"/>
          <w:lang w:eastAsia="ru-RU"/>
        </w:rPr>
        <w:t>НА РЕАЛИЗАЦИЮ МЕРОПРИЯТИЙ ПО СТРОИТЕЛЬСТВУ ОБЪЕКТОВ ГАЗИФИКАЦИИ</w:t>
      </w:r>
    </w:p>
    <w:p w:rsidR="009F6EE7" w:rsidRPr="00C04E1C" w:rsidRDefault="009F6EE7" w:rsidP="009F6EE7">
      <w:pPr>
        <w:autoSpaceDE w:val="0"/>
        <w:autoSpaceDN w:val="0"/>
        <w:adjustRightInd w:val="0"/>
        <w:ind w:firstLine="0"/>
        <w:jc w:val="center"/>
        <w:rPr>
          <w:rFonts w:cs="Times New Roman"/>
          <w:iCs/>
          <w:szCs w:val="28"/>
          <w:lang w:eastAsia="ru-RU"/>
        </w:rPr>
      </w:pPr>
    </w:p>
    <w:p w:rsidR="009F6EE7" w:rsidRPr="00C04E1C" w:rsidRDefault="009F6EE7" w:rsidP="009F6EE7">
      <w:pPr>
        <w:autoSpaceDE w:val="0"/>
        <w:autoSpaceDN w:val="0"/>
        <w:adjustRightInd w:val="0"/>
        <w:jc w:val="both"/>
        <w:rPr>
          <w:rFonts w:cs="Times New Roman"/>
          <w:szCs w:val="28"/>
          <w:lang w:eastAsia="ru-RU"/>
        </w:rPr>
      </w:pPr>
      <w:r w:rsidRPr="00C04E1C">
        <w:rPr>
          <w:rFonts w:cs="Times New Roman"/>
          <w:szCs w:val="28"/>
          <w:lang w:eastAsia="ru-RU"/>
        </w:rPr>
        <w:t xml:space="preserve">1. Настоящий Порядок определяет механизм, условия предоставления и распределения субсидии </w:t>
      </w:r>
      <w:r w:rsidRPr="00C04E1C">
        <w:rPr>
          <w:rFonts w:cs="Times New Roman"/>
          <w:iCs/>
          <w:szCs w:val="28"/>
          <w:lang w:eastAsia="ru-RU"/>
        </w:rPr>
        <w:t>на реализацию мероприятий по строительству объектов газификации</w:t>
      </w:r>
      <w:r w:rsidRPr="00C04E1C">
        <w:rPr>
          <w:rFonts w:cs="Times New Roman"/>
          <w:szCs w:val="28"/>
          <w:lang w:eastAsia="ru-RU"/>
        </w:rPr>
        <w:t xml:space="preserve"> (далее – субсидия).</w:t>
      </w:r>
    </w:p>
    <w:p w:rsidR="009F6EE7" w:rsidRPr="00C04E1C" w:rsidRDefault="009F6EE7" w:rsidP="009F6EE7">
      <w:pPr>
        <w:autoSpaceDE w:val="0"/>
        <w:autoSpaceDN w:val="0"/>
        <w:adjustRightInd w:val="0"/>
        <w:jc w:val="both"/>
        <w:rPr>
          <w:rFonts w:cs="Times New Roman"/>
          <w:szCs w:val="28"/>
          <w:lang w:eastAsia="ru-RU"/>
        </w:rPr>
      </w:pPr>
      <w:r w:rsidRPr="00C04E1C">
        <w:rPr>
          <w:rFonts w:cs="Times New Roman"/>
          <w:szCs w:val="28"/>
          <w:lang w:eastAsia="ru-RU"/>
        </w:rPr>
        <w:t xml:space="preserve">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области полномочий по организации газификации. </w:t>
      </w:r>
    </w:p>
    <w:p w:rsidR="009F6EE7" w:rsidRPr="00C04E1C" w:rsidRDefault="009F6EE7" w:rsidP="009F6EE7">
      <w:pPr>
        <w:autoSpaceDE w:val="0"/>
        <w:autoSpaceDN w:val="0"/>
        <w:adjustRightInd w:val="0"/>
        <w:jc w:val="both"/>
        <w:rPr>
          <w:szCs w:val="28"/>
          <w:lang w:eastAsia="ru-RU"/>
        </w:rPr>
      </w:pPr>
      <w:r w:rsidRPr="00C04E1C">
        <w:rPr>
          <w:rFonts w:cs="Times New Roman"/>
          <w:szCs w:val="28"/>
          <w:lang w:eastAsia="ru-RU"/>
        </w:rPr>
        <w:t xml:space="preserve">3. </w:t>
      </w:r>
      <w:r w:rsidRPr="00C04E1C">
        <w:rPr>
          <w:szCs w:val="28"/>
          <w:lang w:eastAsia="ru-RU"/>
        </w:rPr>
        <w:t>Субсидия направляется на строительство объектов газификации в целях повышения качества и надежности предоставления коммунальных услуг населению. Допускается использование субсидии на оплату строительно-монтажных работ и закупку оборудования, а также на изготовление проектной документации объектов коммунальной инфраструктуры, включенных программу развития газоснабжения и газификации Ярославской области на 2021 – 2025 годы. Допускается использование субсидии на изготовление проектной документации, на оплату строительно-монтажных работ и закупку оборудования по газопроводам-вводам от уличного распределительного газопровода:</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до фасада многоквартирного, частного дома, включая запорное устройство на фасаде дома, - для объектов, по которым проектирование или строительство начиналось в рамках плана-графика синхронизации выполнения программ газификации регионов Российской Федерации по Ярославской области на 2016 - 2021 годы или программы развития газоснабжения и газификации Ярославской области на 2016 - 2020 годы; </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до границы земельного участка частного дома, до фасада многоквартирного дома, включая запорное устройство на фасаде дома, – для объектов, включенных в программу развития газоснабжения и газификации Ярославской области на 2021 – 2025 годы. </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4. Главным распорядителем бюджетных средств в отношении субсидии, ответственным за осуществление государственной политики и нормативно-правовое регулирование деятельности в сфере коммунального комплекса на территории Ярославской области, является департамент жилищно-коммунального хозяйства, энергетики и регулирования тарифов Ярославской области (далее – департамент).</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5. Отбор мероприятий по строительству объектов газификации муниципальных образований области осуществляется в следующем порядке:</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 xml:space="preserve">5.1. При стоимости проведения работ тридцать миллионов рублей и более – на основании постановления Правительства области от 10.12.2008 </w:t>
      </w:r>
      <w:r w:rsidRPr="00C04E1C">
        <w:rPr>
          <w:szCs w:val="28"/>
          <w:lang w:eastAsia="ru-RU"/>
        </w:rPr>
        <w:lastRenderedPageBreak/>
        <w:t>№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 xml:space="preserve">5.2. При стоимости мероприятий менее тридцати миллионов рублей отбор производится на основании приказа департамента от 26.06.2015 № 46 «Об утверждении формы обоснования» с использованием следующих критериев обоснованности осуществления капитальных вложений: </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наличие четко сформулированной цели инвестиционного проекта с определением количественных показателей результатов его реализации;</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комплексный подход к решению конкретной проблемы в рамках реализации инвестиционного проекта во взаимосвязи с мероприятиями, реализуемыми в рамках государственных и региональных программ;</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обоснование планируемой мощности строящегося объекта капитального строительства, создаваемой в результате реализации инвестиционного проекта;</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наличие проектной документации по инвестиционному проекту;</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наличие документации, обосновывающей стоимость инвестиционного проекта;</w:t>
      </w:r>
    </w:p>
    <w:p w:rsidR="009F6EE7" w:rsidRPr="00C04E1C" w:rsidRDefault="009F6EE7" w:rsidP="009F6EE7">
      <w:pPr>
        <w:autoSpaceDE w:val="0"/>
        <w:autoSpaceDN w:val="0"/>
        <w:adjustRightInd w:val="0"/>
        <w:ind w:firstLine="708"/>
        <w:jc w:val="both"/>
        <w:outlineLvl w:val="1"/>
        <w:rPr>
          <w:szCs w:val="28"/>
          <w:lang w:eastAsia="ru-RU"/>
        </w:rPr>
      </w:pPr>
      <w:r w:rsidRPr="00C04E1C">
        <w:rPr>
          <w:szCs w:val="28"/>
          <w:lang w:eastAsia="ru-RU"/>
        </w:rPr>
        <w:t>- наличие правоустанавливающих документов на объект капитального строительства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 возможность и целесообразность размещения объекта капитального строительства, строящегося в рамках реализации инвестиционного проекта.</w:t>
      </w:r>
    </w:p>
    <w:p w:rsidR="009F6EE7" w:rsidRPr="00C04E1C" w:rsidRDefault="009F6EE7" w:rsidP="009F6EE7">
      <w:pPr>
        <w:ind w:firstLine="708"/>
        <w:jc w:val="both"/>
        <w:rPr>
          <w:szCs w:val="28"/>
          <w:lang w:eastAsia="ru-RU"/>
        </w:rPr>
      </w:pPr>
      <w:r w:rsidRPr="00C04E1C">
        <w:rPr>
          <w:szCs w:val="28"/>
          <w:lang w:eastAsia="ru-RU"/>
        </w:rPr>
        <w:t xml:space="preserve">5.3. В качестве критерия отбора муниципальных образований области принимается уровень газификации жилищного фонда. В региональной программе «Газификация и модернизация жилищно-коммунального хозяйства, промышленных и иных организаций Ярославской области» на 2022 – 2026 годы (далее – Программа) могут участвовать муниципальные образования области, имеющие положительное заключение государственной экспертизы на инвестиционный проект. </w:t>
      </w:r>
    </w:p>
    <w:p w:rsidR="009F6EE7" w:rsidRPr="00C04E1C" w:rsidRDefault="009F6EE7" w:rsidP="009F6EE7">
      <w:pPr>
        <w:ind w:firstLine="708"/>
        <w:jc w:val="both"/>
        <w:rPr>
          <w:szCs w:val="28"/>
          <w:lang w:eastAsia="ru-RU"/>
        </w:rPr>
      </w:pPr>
      <w:r w:rsidRPr="00C04E1C">
        <w:rPr>
          <w:szCs w:val="28"/>
          <w:lang w:eastAsia="ru-RU"/>
        </w:rPr>
        <w:t>Принципы ранжирования заявленных объектов капитального строительства по степени значимости при включении в Программу исходя из утвержденных ассигнований областного бюджета:</w:t>
      </w:r>
    </w:p>
    <w:p w:rsidR="009F6EE7" w:rsidRPr="00C04E1C" w:rsidRDefault="009F6EE7" w:rsidP="009F6EE7">
      <w:pPr>
        <w:jc w:val="both"/>
        <w:rPr>
          <w:szCs w:val="28"/>
          <w:lang w:eastAsia="ru-RU"/>
        </w:rPr>
      </w:pPr>
      <w:r w:rsidRPr="00C04E1C">
        <w:rPr>
          <w:szCs w:val="28"/>
          <w:lang w:eastAsia="ru-RU"/>
        </w:rPr>
        <w:t>- объекты, включенные в программу развития газоснабжения и газификации Ярославской области на 2021 – 2025 годы;</w:t>
      </w:r>
    </w:p>
    <w:p w:rsidR="009F6EE7" w:rsidRPr="00C04E1C" w:rsidRDefault="009F6EE7" w:rsidP="009F6EE7">
      <w:pPr>
        <w:jc w:val="both"/>
        <w:rPr>
          <w:szCs w:val="28"/>
          <w:lang w:eastAsia="ru-RU"/>
        </w:rPr>
      </w:pPr>
      <w:r w:rsidRPr="00C04E1C">
        <w:rPr>
          <w:szCs w:val="28"/>
          <w:lang w:eastAsia="ru-RU"/>
        </w:rPr>
        <w:lastRenderedPageBreak/>
        <w:t>- объекты, реализация которых была запланирована в рамках региональной программы «Газификация и модернизация жилищно-коммунального хозяйства, промышленных и иных организаций  Ярославской области» на 2017 – 2021 годы, но не выполнена;</w:t>
      </w:r>
    </w:p>
    <w:p w:rsidR="009F6EE7" w:rsidRPr="00C04E1C" w:rsidRDefault="009F6EE7" w:rsidP="009F6EE7">
      <w:pPr>
        <w:jc w:val="both"/>
        <w:rPr>
          <w:szCs w:val="28"/>
          <w:lang w:eastAsia="ru-RU"/>
        </w:rPr>
      </w:pPr>
      <w:r w:rsidRPr="00C04E1C">
        <w:rPr>
          <w:szCs w:val="28"/>
          <w:lang w:eastAsia="ru-RU"/>
        </w:rPr>
        <w:t>- объекты строительства межпоселковых газопроводов, обеспечивающие реализацию мероприятий по строительству распределительных газовых сетей по государственной программе Ярославской области «Комплексное развитие сельских территорий в Ярославской области» на 2020 – 2025 годы;</w:t>
      </w:r>
    </w:p>
    <w:p w:rsidR="009F6EE7" w:rsidRPr="00C04E1C" w:rsidRDefault="009F6EE7" w:rsidP="009F6EE7">
      <w:pPr>
        <w:jc w:val="both"/>
        <w:rPr>
          <w:szCs w:val="28"/>
          <w:lang w:eastAsia="ru-RU"/>
        </w:rPr>
      </w:pPr>
      <w:r w:rsidRPr="00C04E1C">
        <w:rPr>
          <w:szCs w:val="28"/>
          <w:lang w:eastAsia="ru-RU"/>
        </w:rPr>
        <w:t>- объекты строительства распределительных газовых сетей в городах, рабочих поселках, сельских населенных пунктах, реализация которых выполнялась, но не завершилась в рамках реализации региональной программы «Газификация и модернизация жилищно-коммунального хозяйства, промышленных и иных организаций  Ярославской области» на 2017 – 2021 годы;</w:t>
      </w:r>
    </w:p>
    <w:p w:rsidR="009F6EE7" w:rsidRPr="00C04E1C" w:rsidRDefault="009F6EE7" w:rsidP="009F6EE7">
      <w:pPr>
        <w:jc w:val="both"/>
        <w:rPr>
          <w:szCs w:val="28"/>
          <w:lang w:eastAsia="ru-RU"/>
        </w:rPr>
      </w:pPr>
      <w:r w:rsidRPr="00C04E1C">
        <w:rPr>
          <w:szCs w:val="28"/>
          <w:lang w:eastAsia="ru-RU"/>
        </w:rPr>
        <w:t>- объекты строительства распределительных газовых сетей, необходимые для ввода в эксплуатацию ранее построенных межпоселковых газопроводов;</w:t>
      </w:r>
    </w:p>
    <w:p w:rsidR="009F6EE7" w:rsidRPr="00C04E1C" w:rsidRDefault="009F6EE7" w:rsidP="009F6EE7">
      <w:pPr>
        <w:jc w:val="both"/>
        <w:rPr>
          <w:szCs w:val="28"/>
          <w:lang w:eastAsia="ru-RU"/>
        </w:rPr>
      </w:pPr>
      <w:r w:rsidRPr="00C04E1C">
        <w:rPr>
          <w:szCs w:val="28"/>
          <w:lang w:eastAsia="ru-RU"/>
        </w:rPr>
        <w:t>- объекты строительства газопроводов для дальнейшего развития сельских территорий.</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6. Условиями предоставления субсидии являются:</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 xml:space="preserve">6.1. </w:t>
      </w:r>
      <w:r w:rsidRPr="00C04E1C">
        <w:rPr>
          <w:rFonts w:cs="Times New Roman"/>
          <w:spacing w:val="-2"/>
          <w:szCs w:val="28"/>
          <w:lang w:eastAsia="ru-RU"/>
        </w:rPr>
        <w:t xml:space="preserve">Соответствие заявленных объектов целям и задачам </w:t>
      </w:r>
      <w:r w:rsidRPr="00C04E1C">
        <w:rPr>
          <w:rFonts w:cs="Times New Roman"/>
          <w:szCs w:val="28"/>
          <w:lang w:eastAsia="ru-RU"/>
        </w:rPr>
        <w:t xml:space="preserve">Программы </w:t>
      </w:r>
      <w:r w:rsidRPr="00C04E1C">
        <w:rPr>
          <w:rFonts w:cs="Times New Roman"/>
          <w:spacing w:val="-2"/>
          <w:szCs w:val="28"/>
          <w:lang w:eastAsia="ru-RU"/>
        </w:rPr>
        <w:t>и требованиям, установленным постановлением Правительства области от 15.06.2010 № 416-п</w:t>
      </w:r>
      <w:r w:rsidRPr="00C04E1C">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9F6EE7" w:rsidRPr="00C04E1C" w:rsidRDefault="009F6EE7" w:rsidP="009F6EE7">
      <w:pPr>
        <w:autoSpaceDE w:val="0"/>
        <w:autoSpaceDN w:val="0"/>
        <w:adjustRightInd w:val="0"/>
        <w:jc w:val="both"/>
        <w:outlineLvl w:val="1"/>
        <w:rPr>
          <w:szCs w:val="28"/>
          <w:lang w:eastAsia="ru-RU"/>
        </w:rPr>
      </w:pPr>
      <w:r w:rsidRPr="00C04E1C">
        <w:rPr>
          <w:szCs w:val="28"/>
          <w:lang w:eastAsia="ru-RU"/>
        </w:rPr>
        <w:t>6.2. Наличие в местных бюджетах ассигнований на исполнение соответствующих расходных обязательств местного самоуправления.</w:t>
      </w:r>
    </w:p>
    <w:p w:rsidR="009F6EE7" w:rsidRPr="00C04E1C" w:rsidRDefault="009F6EE7" w:rsidP="009F6EE7">
      <w:pPr>
        <w:autoSpaceDE w:val="0"/>
        <w:autoSpaceDN w:val="0"/>
        <w:adjustRightInd w:val="0"/>
        <w:jc w:val="both"/>
        <w:rPr>
          <w:szCs w:val="28"/>
          <w:lang w:eastAsia="ru-RU"/>
        </w:rPr>
      </w:pPr>
      <w:r w:rsidRPr="00C04E1C">
        <w:rPr>
          <w:szCs w:val="28"/>
          <w:lang w:eastAsia="ru-RU"/>
        </w:rPr>
        <w:t>6.3. Наличие у муниципальных районов (городских округов, городских поселений) области утвержденной муниципальной программы развития коммунальной инфраструктуры, включающей мероприятие, реализация которого планируется.</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6.4. Наличие подписанного соглашения о предоставлении и расходовании субсидии (далее – соглашение), заключенного до 01 апреля текущего финансового года между департаментом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w:t>
      </w:r>
      <w:r w:rsidRPr="00C04E1C">
        <w:rPr>
          <w:szCs w:val="28"/>
          <w:lang w:eastAsia="ru-RU"/>
        </w:rPr>
        <w:lastRenderedPageBreak/>
        <w:t xml:space="preserve">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p>
    <w:p w:rsidR="009F6EE7" w:rsidRPr="00C04E1C" w:rsidRDefault="009F6EE7" w:rsidP="009F6EE7">
      <w:pPr>
        <w:autoSpaceDE w:val="0"/>
        <w:autoSpaceDN w:val="0"/>
        <w:adjustRightInd w:val="0"/>
        <w:jc w:val="both"/>
        <w:rPr>
          <w:szCs w:val="28"/>
          <w:lang w:eastAsia="ru-RU"/>
        </w:rPr>
      </w:pPr>
      <w:r w:rsidRPr="00C04E1C">
        <w:rPr>
          <w:szCs w:val="28"/>
          <w:lang w:eastAsia="ru-RU"/>
        </w:rPr>
        <w:t>6.5. Выполнение требований к показателям результатов использования субсидии, установленных соглашением.</w:t>
      </w:r>
    </w:p>
    <w:p w:rsidR="009F6EE7" w:rsidRPr="00C04E1C" w:rsidRDefault="009F6EE7" w:rsidP="009F6EE7">
      <w:pPr>
        <w:tabs>
          <w:tab w:val="left" w:pos="1418"/>
        </w:tabs>
        <w:autoSpaceDE w:val="0"/>
        <w:autoSpaceDN w:val="0"/>
        <w:adjustRightInd w:val="0"/>
        <w:jc w:val="both"/>
        <w:rPr>
          <w:szCs w:val="28"/>
          <w:lang w:eastAsia="ru-RU"/>
        </w:rPr>
      </w:pPr>
      <w:r w:rsidRPr="00C04E1C">
        <w:rPr>
          <w:szCs w:val="28"/>
          <w:lang w:eastAsia="ru-RU"/>
        </w:rPr>
        <w:t>6.6. Соблюдение целевых направлений расходования субсидии, установленных пунктом 3 настоящего Порядка.</w:t>
      </w:r>
    </w:p>
    <w:p w:rsidR="009F6EE7" w:rsidRPr="00C04E1C" w:rsidRDefault="009F6EE7" w:rsidP="009F6EE7">
      <w:pPr>
        <w:tabs>
          <w:tab w:val="left" w:pos="1418"/>
        </w:tabs>
        <w:autoSpaceDE w:val="0"/>
        <w:autoSpaceDN w:val="0"/>
        <w:adjustRightInd w:val="0"/>
        <w:jc w:val="both"/>
        <w:rPr>
          <w:szCs w:val="28"/>
          <w:lang w:eastAsia="ru-RU"/>
        </w:rPr>
      </w:pPr>
      <w:r w:rsidRPr="00C04E1C">
        <w:rPr>
          <w:szCs w:val="28"/>
          <w:lang w:eastAsia="ru-RU"/>
        </w:rPr>
        <w:t>6.7. Выполнение требований к срокам, порядку и формам представления отчетности об использовании субсидии, установленных соглашением.</w:t>
      </w:r>
    </w:p>
    <w:p w:rsidR="009F6EE7" w:rsidRPr="00C04E1C" w:rsidRDefault="009F6EE7" w:rsidP="009F6EE7">
      <w:pPr>
        <w:jc w:val="both"/>
        <w:rPr>
          <w:szCs w:val="28"/>
          <w:lang w:eastAsia="ru-RU"/>
        </w:rPr>
      </w:pPr>
      <w:r w:rsidRPr="00C04E1C">
        <w:rPr>
          <w:szCs w:val="28"/>
          <w:lang w:eastAsia="ru-RU"/>
        </w:rPr>
        <w:t>7. Размер софинансирования расходного обязательства из областного бюджета устанавливается дифференцированно с учетом доли зависимости муниципальных образований области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9F6EE7" w:rsidRPr="00C04E1C" w:rsidRDefault="009F6EE7" w:rsidP="009F6EE7">
      <w:pPr>
        <w:jc w:val="both"/>
        <w:rPr>
          <w:szCs w:val="28"/>
          <w:lang w:eastAsia="ru-RU"/>
        </w:rPr>
      </w:pPr>
      <w:r w:rsidRPr="00C04E1C">
        <w:rPr>
          <w:szCs w:val="28"/>
          <w:lang w:eastAsia="ru-RU"/>
        </w:rPr>
        <w:t>На 2022 – 2024 годы размер софинансирования расходного обязательства из областного бюджета устанавливается:</w:t>
      </w:r>
    </w:p>
    <w:p w:rsidR="009F6EE7" w:rsidRPr="00C04E1C" w:rsidRDefault="009F6EE7" w:rsidP="009F6EE7">
      <w:pPr>
        <w:jc w:val="both"/>
        <w:rPr>
          <w:szCs w:val="28"/>
          <w:lang w:eastAsia="ru-RU"/>
        </w:rPr>
      </w:pPr>
      <w:r w:rsidRPr="00C04E1C">
        <w:rPr>
          <w:szCs w:val="28"/>
          <w:lang w:eastAsia="ru-RU"/>
        </w:rPr>
        <w:t>- не более 90 процентов –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(Борисоглебский, Гаврилов-Ямский, Некрасовский, Тутаевский, Угличский муниципальные районы);</w:t>
      </w:r>
    </w:p>
    <w:p w:rsidR="009F6EE7" w:rsidRPr="00C04E1C" w:rsidRDefault="009F6EE7" w:rsidP="009F6EE7">
      <w:pPr>
        <w:jc w:val="both"/>
        <w:rPr>
          <w:szCs w:val="28"/>
          <w:lang w:eastAsia="ru-RU"/>
        </w:rPr>
      </w:pPr>
      <w:r w:rsidRPr="00C04E1C">
        <w:rPr>
          <w:szCs w:val="28"/>
          <w:lang w:eastAsia="ru-RU"/>
        </w:rPr>
        <w:t>- не более 80 процентов –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(Ростовский, Рыбинский, Ярославский муниципальные районы, городской округ город Рыбинск).</w:t>
      </w:r>
    </w:p>
    <w:p w:rsidR="009F6EE7" w:rsidRPr="00C04E1C" w:rsidRDefault="009F6EE7" w:rsidP="009F6EE7">
      <w:pPr>
        <w:jc w:val="both"/>
        <w:rPr>
          <w:szCs w:val="28"/>
          <w:lang w:eastAsia="ru-RU"/>
        </w:rPr>
      </w:pPr>
      <w:r w:rsidRPr="00C04E1C">
        <w:rPr>
          <w:szCs w:val="28"/>
          <w:lang w:eastAsia="ru-RU"/>
        </w:rPr>
        <w:t>Для объектов газификации, реализуемых в рамках программы развития газоснабжения и газификации Ярославской области на 2021 – 2025 годы, размер софинансирования расходного обязательства из областного бюджета устанавливается не более 95 процентов (Большесельский, Борисоглебский, Брейтовский, Даниловский, Любимский, Некоузский, Мышкинский, Первомайский, Пошехонский, Рыбинский, Угличский, Ярославский муниципальные районы, городской округ г. Переславль-Залесский).</w:t>
      </w:r>
    </w:p>
    <w:p w:rsidR="009F6EE7" w:rsidRPr="00C04E1C" w:rsidRDefault="009F6EE7" w:rsidP="009F6EE7">
      <w:pPr>
        <w:jc w:val="both"/>
        <w:rPr>
          <w:szCs w:val="28"/>
          <w:lang w:eastAsia="ru-RU"/>
        </w:rPr>
      </w:pPr>
      <w:r w:rsidRPr="00C04E1C">
        <w:rPr>
          <w:szCs w:val="28"/>
          <w:lang w:eastAsia="ru-RU"/>
        </w:rPr>
        <w:t>Объем субсидии приведен в приложении к настоящему Порядку.</w:t>
      </w:r>
    </w:p>
    <w:p w:rsidR="009F6EE7" w:rsidRPr="00C04E1C" w:rsidRDefault="009F6EE7" w:rsidP="009F6EE7">
      <w:pPr>
        <w:autoSpaceDE w:val="0"/>
        <w:autoSpaceDN w:val="0"/>
        <w:adjustRightInd w:val="0"/>
        <w:jc w:val="both"/>
        <w:rPr>
          <w:szCs w:val="28"/>
          <w:lang w:eastAsia="ru-RU"/>
        </w:rPr>
      </w:pPr>
      <w:r w:rsidRPr="00C04E1C">
        <w:rPr>
          <w:szCs w:val="28"/>
          <w:lang w:eastAsia="ru-RU"/>
        </w:rPr>
        <w:t>8. Основанием для предоставления субсидии является соглашение. Соглашение содержит:</w:t>
      </w:r>
    </w:p>
    <w:p w:rsidR="009F6EE7" w:rsidRPr="00C04E1C" w:rsidRDefault="009F6EE7" w:rsidP="009F6EE7">
      <w:pPr>
        <w:autoSpaceDE w:val="0"/>
        <w:autoSpaceDN w:val="0"/>
        <w:adjustRightInd w:val="0"/>
        <w:jc w:val="both"/>
        <w:rPr>
          <w:szCs w:val="28"/>
          <w:lang w:eastAsia="ru-RU"/>
        </w:rPr>
      </w:pPr>
      <w:r w:rsidRPr="00C04E1C">
        <w:rPr>
          <w:szCs w:val="28"/>
          <w:lang w:eastAsia="ru-RU"/>
        </w:rPr>
        <w:lastRenderedPageBreak/>
        <w:t>- предмет соглашения, размер субсидии, целевое назначение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9F6EE7" w:rsidRPr="00C04E1C" w:rsidRDefault="009F6EE7" w:rsidP="009F6EE7">
      <w:pPr>
        <w:autoSpaceDE w:val="0"/>
        <w:autoSpaceDN w:val="0"/>
        <w:adjustRightInd w:val="0"/>
        <w:jc w:val="both"/>
        <w:rPr>
          <w:szCs w:val="28"/>
          <w:lang w:eastAsia="ru-RU"/>
        </w:rPr>
      </w:pPr>
      <w:r w:rsidRPr="00C04E1C">
        <w:rPr>
          <w:szCs w:val="28"/>
          <w:lang w:eastAsia="ru-RU"/>
        </w:rPr>
        <w:t>- сроки и порядок представления отчетности об использовании субсидии, о выполнении условий предоставления субсидии, а также о достижении значений показателей результатов использования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порядок осуществления контроля за выполнением муниципальными образованиями области обязательств, предусмотренных соглашением;</w:t>
      </w:r>
    </w:p>
    <w:p w:rsidR="009F6EE7" w:rsidRPr="00C04E1C" w:rsidRDefault="009F6EE7" w:rsidP="009F6EE7">
      <w:pPr>
        <w:autoSpaceDE w:val="0"/>
        <w:autoSpaceDN w:val="0"/>
        <w:adjustRightInd w:val="0"/>
        <w:jc w:val="both"/>
        <w:rPr>
          <w:szCs w:val="28"/>
          <w:lang w:eastAsia="ru-RU"/>
        </w:rPr>
      </w:pPr>
      <w:r w:rsidRPr="00C04E1C">
        <w:rPr>
          <w:szCs w:val="28"/>
          <w:lang w:eastAsia="ru-RU"/>
        </w:rPr>
        <w:t>- последствия недостижения муниципальным образованием области установленных соглашением значений показателей результатов использования субсидии и/или несоблюдения графика выполнения работ;</w:t>
      </w:r>
    </w:p>
    <w:p w:rsidR="009F6EE7" w:rsidRPr="00C04E1C" w:rsidRDefault="009F6EE7" w:rsidP="009F6EE7">
      <w:pPr>
        <w:autoSpaceDE w:val="0"/>
        <w:autoSpaceDN w:val="0"/>
        <w:adjustRightInd w:val="0"/>
        <w:jc w:val="both"/>
        <w:rPr>
          <w:szCs w:val="28"/>
          <w:lang w:eastAsia="ru-RU"/>
        </w:rPr>
      </w:pPr>
      <w:r w:rsidRPr="00C04E1C">
        <w:rPr>
          <w:szCs w:val="28"/>
          <w:lang w:eastAsia="ru-RU"/>
        </w:rPr>
        <w:t>- основания и порядок возврата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8.1. Для заключения соглашения в департамент представляются следующие документы:</w:t>
      </w:r>
    </w:p>
    <w:p w:rsidR="009F6EE7" w:rsidRPr="00C04E1C" w:rsidRDefault="009F6EE7" w:rsidP="009F6EE7">
      <w:pPr>
        <w:autoSpaceDE w:val="0"/>
        <w:autoSpaceDN w:val="0"/>
        <w:adjustRightInd w:val="0"/>
        <w:jc w:val="both"/>
        <w:rPr>
          <w:szCs w:val="28"/>
          <w:lang w:eastAsia="ru-RU"/>
        </w:rPr>
      </w:pPr>
      <w:r w:rsidRPr="00C04E1C">
        <w:rPr>
          <w:szCs w:val="28"/>
          <w:lang w:eastAsia="ru-RU"/>
        </w:rPr>
        <w:t>- информация о размере субсидии по форме согласно приложению 3 к типовой форме;</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копия утвержденной муниципальной программы развития коммунальной инфраструктуры, либо нормативно-правового акта о внесенных изменениях в муниципальную программу, которые содержат перечень мероприятий, реализация которых планируется; </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 включающая расшифровку по перечню строек и объектов; </w:t>
      </w:r>
    </w:p>
    <w:p w:rsidR="009F6EE7" w:rsidRPr="00C04E1C" w:rsidRDefault="009F6EE7" w:rsidP="009F6EE7">
      <w:pPr>
        <w:autoSpaceDE w:val="0"/>
        <w:autoSpaceDN w:val="0"/>
        <w:adjustRightInd w:val="0"/>
        <w:jc w:val="both"/>
        <w:rPr>
          <w:szCs w:val="28"/>
          <w:lang w:eastAsia="ru-RU"/>
        </w:rPr>
      </w:pPr>
      <w:r w:rsidRPr="00C04E1C">
        <w:rPr>
          <w:szCs w:val="28"/>
          <w:lang w:eastAsia="ru-RU"/>
        </w:rPr>
        <w:t>- разрешение на строительство (при необходимости);</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положительное заключение государственной экспертизы проектной документации объекта строительства; </w:t>
      </w:r>
    </w:p>
    <w:p w:rsidR="009F6EE7" w:rsidRPr="00C04E1C" w:rsidRDefault="009F6EE7" w:rsidP="009F6EE7">
      <w:pPr>
        <w:shd w:val="clear" w:color="auto" w:fill="FFFFFF"/>
        <w:autoSpaceDE w:val="0"/>
        <w:autoSpaceDN w:val="0"/>
        <w:adjustRightInd w:val="0"/>
        <w:jc w:val="both"/>
        <w:rPr>
          <w:szCs w:val="28"/>
          <w:lang w:eastAsia="ru-RU"/>
        </w:rPr>
      </w:pPr>
      <w:r w:rsidRPr="00C04E1C">
        <w:rPr>
          <w:szCs w:val="28"/>
          <w:lang w:eastAsia="ru-RU"/>
        </w:rPr>
        <w:t>- сводный сметный расчет стоимости объекта строительства;</w:t>
      </w:r>
    </w:p>
    <w:p w:rsidR="009F6EE7" w:rsidRPr="00C04E1C" w:rsidRDefault="009F6EE7" w:rsidP="009F6EE7">
      <w:pPr>
        <w:widowControl w:val="0"/>
        <w:autoSpaceDE w:val="0"/>
        <w:autoSpaceDN w:val="0"/>
        <w:ind w:firstLine="540"/>
        <w:contextualSpacing/>
        <w:jc w:val="both"/>
        <w:rPr>
          <w:szCs w:val="28"/>
          <w:lang w:eastAsia="ru-RU"/>
        </w:rPr>
      </w:pPr>
      <w:r w:rsidRPr="00C04E1C">
        <w:rPr>
          <w:szCs w:val="28"/>
          <w:lang w:eastAsia="ru-RU"/>
        </w:rPr>
        <w:t>- копия соглашения о передаче полномочий при исполнении мероприятий Программы (при наличии).</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8.2. Соглашения могут заключаться на 3-летний срок при наличии бюджетных ассигнований на очередной финансовый год и на плановый период (по согласованию с департаментом финансов Ярославской области). </w:t>
      </w:r>
    </w:p>
    <w:p w:rsidR="009F6EE7" w:rsidRPr="00C04E1C" w:rsidRDefault="009F6EE7" w:rsidP="009F6EE7">
      <w:pPr>
        <w:autoSpaceDE w:val="0"/>
        <w:autoSpaceDN w:val="0"/>
        <w:adjustRightInd w:val="0"/>
        <w:jc w:val="both"/>
        <w:rPr>
          <w:szCs w:val="28"/>
          <w:lang w:eastAsia="ru-RU"/>
        </w:rPr>
      </w:pPr>
      <w:r w:rsidRPr="00C04E1C">
        <w:rPr>
          <w:szCs w:val="28"/>
          <w:lang w:eastAsia="ru-RU"/>
        </w:rPr>
        <w:lastRenderedPageBreak/>
        <w:t>8.3.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в случае изменения значений целевых показателей и индикаторов государственных программ Ярославской области; </w:t>
      </w:r>
    </w:p>
    <w:p w:rsidR="009F6EE7" w:rsidRPr="00C04E1C" w:rsidRDefault="009F6EE7" w:rsidP="009F6EE7">
      <w:pPr>
        <w:autoSpaceDE w:val="0"/>
        <w:autoSpaceDN w:val="0"/>
        <w:adjustRightInd w:val="0"/>
        <w:jc w:val="both"/>
        <w:rPr>
          <w:szCs w:val="28"/>
          <w:lang w:eastAsia="ru-RU"/>
        </w:rPr>
      </w:pPr>
      <w:r w:rsidRPr="00C04E1C">
        <w:rPr>
          <w:szCs w:val="28"/>
          <w:lang w:eastAsia="ru-RU"/>
        </w:rPr>
        <w:t>- в случае существенного (более чем на 20 процентов) сокращения размера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8.4. При наличии на момент окончания срока действия соглашения задолженности по объектам, финансирование которых осуществлялось в рамках региональной программы «Газификация и модернизации жилищно-коммунального хозяйства, промышленных и иных организаций Ярославской области» на 2017 – 2021 годы,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реализацию Программы на очередной финансовый год:</w:t>
      </w:r>
    </w:p>
    <w:p w:rsidR="009F6EE7" w:rsidRPr="00C04E1C" w:rsidRDefault="009F6EE7" w:rsidP="009F6EE7">
      <w:pPr>
        <w:autoSpaceDE w:val="0"/>
        <w:autoSpaceDN w:val="0"/>
        <w:adjustRightInd w:val="0"/>
        <w:jc w:val="both"/>
        <w:rPr>
          <w:szCs w:val="28"/>
          <w:lang w:eastAsia="ru-RU"/>
        </w:rPr>
      </w:pPr>
      <w:r w:rsidRPr="00C04E1C">
        <w:rPr>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на соответствующий год реализации Программы. </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9F6EE7" w:rsidRPr="00C04E1C" w:rsidRDefault="009F6EE7" w:rsidP="009F6EE7">
      <w:pPr>
        <w:autoSpaceDE w:val="0"/>
        <w:autoSpaceDN w:val="0"/>
        <w:adjustRightInd w:val="0"/>
        <w:jc w:val="both"/>
        <w:rPr>
          <w:szCs w:val="28"/>
          <w:lang w:eastAsia="ru-RU"/>
        </w:rPr>
      </w:pPr>
      <w:r w:rsidRPr="00C04E1C">
        <w:rPr>
          <w:szCs w:val="28"/>
          <w:lang w:eastAsia="ru-RU"/>
        </w:rPr>
        <w:t>8.6.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области от 27.04.2016 № 501-п «Об особенностях осуществления закупок, финансируемых за счет бюджета Ярославской области».</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9. Перечисление субсидии осуществляется в доход бюджета муниципального района (городского округа, городского поселения) области в пределах лимитов бюджетных обязательств областного бюджета, предусмотренных законом Ярославской области об областном бюджете </w:t>
      </w:r>
      <w:r w:rsidRPr="00C04E1C">
        <w:rPr>
          <w:szCs w:val="28"/>
          <w:lang w:eastAsia="ru-RU"/>
        </w:rPr>
        <w:lastRenderedPageBreak/>
        <w:t>на соответствующий финансовый год и на плановый период, при представлении в департамент:</w:t>
      </w:r>
    </w:p>
    <w:p w:rsidR="009F6EE7" w:rsidRPr="00C04E1C" w:rsidRDefault="009F6EE7" w:rsidP="009F6EE7">
      <w:pPr>
        <w:autoSpaceDE w:val="0"/>
        <w:autoSpaceDN w:val="0"/>
        <w:adjustRightInd w:val="0"/>
        <w:jc w:val="both"/>
        <w:rPr>
          <w:szCs w:val="28"/>
          <w:lang w:eastAsia="ru-RU"/>
        </w:rPr>
      </w:pPr>
      <w:r w:rsidRPr="00C04E1C">
        <w:rPr>
          <w:szCs w:val="28"/>
          <w:lang w:eastAsia="ru-RU"/>
        </w:rPr>
        <w:t>- копии муниципального контракта (договора) с исполнителями работ на весь период строительства или приобретения оборудования, график выполнения работ;</w:t>
      </w:r>
    </w:p>
    <w:p w:rsidR="009F6EE7" w:rsidRPr="00C04E1C" w:rsidRDefault="009F6EE7" w:rsidP="009F6EE7">
      <w:pPr>
        <w:autoSpaceDE w:val="0"/>
        <w:autoSpaceDN w:val="0"/>
        <w:adjustRightInd w:val="0"/>
        <w:jc w:val="both"/>
        <w:rPr>
          <w:szCs w:val="28"/>
          <w:lang w:eastAsia="ru-RU"/>
        </w:rPr>
      </w:pPr>
      <w:r w:rsidRPr="00C04E1C">
        <w:rPr>
          <w:szCs w:val="28"/>
          <w:lang w:eastAsia="ru-RU"/>
        </w:rPr>
        <w:t>- заявки на предоставление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справки о стоимости выполненных работ и затрат по форме № КС-3;</w:t>
      </w:r>
    </w:p>
    <w:p w:rsidR="009F6EE7" w:rsidRPr="00C04E1C" w:rsidRDefault="009F6EE7" w:rsidP="009F6EE7">
      <w:pPr>
        <w:autoSpaceDE w:val="0"/>
        <w:autoSpaceDN w:val="0"/>
        <w:adjustRightInd w:val="0"/>
        <w:jc w:val="both"/>
        <w:rPr>
          <w:szCs w:val="28"/>
          <w:lang w:eastAsia="ru-RU"/>
        </w:rPr>
      </w:pPr>
      <w:r w:rsidRPr="00C04E1C">
        <w:rPr>
          <w:szCs w:val="28"/>
          <w:lang w:eastAsia="ru-RU"/>
        </w:rPr>
        <w:t>- копий платежных документов, подтверждающих фактическое исполнение расходных обязательств местных бюджетов на софинансирование мероприятий Программы;</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акта о приемке выполненных работ по форме № КС-2 (по требованию); </w:t>
      </w:r>
    </w:p>
    <w:p w:rsidR="009F6EE7" w:rsidRPr="00C04E1C" w:rsidRDefault="009F6EE7" w:rsidP="009F6EE7">
      <w:pPr>
        <w:autoSpaceDE w:val="0"/>
        <w:autoSpaceDN w:val="0"/>
        <w:adjustRightInd w:val="0"/>
        <w:jc w:val="both"/>
        <w:rPr>
          <w:szCs w:val="28"/>
          <w:lang w:eastAsia="ru-RU"/>
        </w:rPr>
      </w:pPr>
      <w:r w:rsidRPr="00C04E1C">
        <w:rPr>
          <w:szCs w:val="28"/>
          <w:lang w:eastAsia="ru-RU"/>
        </w:rPr>
        <w:t xml:space="preserve">- отчетов, которые необходимо представить на дату подачи заявки на предоставление субсидии, в соответствии с формами, приведенными в приложениях 5 – 8 к типовой форме. </w:t>
      </w:r>
    </w:p>
    <w:p w:rsidR="009F6EE7" w:rsidRPr="00C04E1C" w:rsidRDefault="009F6EE7" w:rsidP="009F6EE7">
      <w:pPr>
        <w:autoSpaceDE w:val="0"/>
        <w:autoSpaceDN w:val="0"/>
        <w:adjustRightInd w:val="0"/>
        <w:jc w:val="both"/>
        <w:rPr>
          <w:szCs w:val="28"/>
          <w:lang w:eastAsia="ru-RU"/>
        </w:rPr>
      </w:pPr>
      <w:r w:rsidRPr="00C04E1C">
        <w:rPr>
          <w:szCs w:val="28"/>
          <w:lang w:eastAsia="ru-RU"/>
        </w:rPr>
        <w:t>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(договора), но не более 30 процентов от суммы контракта на строительно-монтажные работы, приобретение оборудования и до 100 процентов на проведение государственной экспертизы проектной документации. В этом случае в департамент представляются:</w:t>
      </w:r>
    </w:p>
    <w:p w:rsidR="009F6EE7" w:rsidRPr="00C04E1C" w:rsidRDefault="009F6EE7" w:rsidP="009F6EE7">
      <w:pPr>
        <w:autoSpaceDE w:val="0"/>
        <w:autoSpaceDN w:val="0"/>
        <w:adjustRightInd w:val="0"/>
        <w:jc w:val="both"/>
        <w:rPr>
          <w:szCs w:val="28"/>
          <w:lang w:eastAsia="ru-RU"/>
        </w:rPr>
      </w:pPr>
      <w:r w:rsidRPr="00C04E1C">
        <w:rPr>
          <w:szCs w:val="28"/>
          <w:lang w:eastAsia="ru-RU"/>
        </w:rPr>
        <w:t>- заявка на предоставление субсидии;</w:t>
      </w:r>
    </w:p>
    <w:p w:rsidR="009F6EE7" w:rsidRPr="00C04E1C" w:rsidRDefault="009F6EE7" w:rsidP="009F6EE7">
      <w:pPr>
        <w:autoSpaceDE w:val="0"/>
        <w:autoSpaceDN w:val="0"/>
        <w:adjustRightInd w:val="0"/>
        <w:jc w:val="both"/>
        <w:rPr>
          <w:szCs w:val="28"/>
          <w:lang w:eastAsia="ru-RU"/>
        </w:rPr>
      </w:pPr>
      <w:r w:rsidRPr="00C04E1C">
        <w:rPr>
          <w:szCs w:val="28"/>
          <w:lang w:eastAsia="ru-RU"/>
        </w:rPr>
        <w:t>-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Программы;</w:t>
      </w:r>
    </w:p>
    <w:p w:rsidR="009F6EE7" w:rsidRPr="00C04E1C" w:rsidRDefault="009F6EE7" w:rsidP="009F6EE7">
      <w:pPr>
        <w:autoSpaceDE w:val="0"/>
        <w:autoSpaceDN w:val="0"/>
        <w:adjustRightInd w:val="0"/>
        <w:jc w:val="both"/>
        <w:rPr>
          <w:szCs w:val="28"/>
          <w:lang w:eastAsia="ru-RU"/>
        </w:rPr>
      </w:pPr>
      <w:r w:rsidRPr="00C04E1C">
        <w:rPr>
          <w:szCs w:val="28"/>
          <w:lang w:eastAsia="ru-RU"/>
        </w:rPr>
        <w:t>- в случае приобретения оборудования в соответствии с условиями заключенных муниципальных контрактов – договор на поставку оборудования и счета на оплату оборудования.</w:t>
      </w:r>
    </w:p>
    <w:p w:rsidR="009F6EE7" w:rsidRPr="00C04E1C" w:rsidRDefault="009F6EE7" w:rsidP="009F6EE7">
      <w:pPr>
        <w:autoSpaceDE w:val="0"/>
        <w:autoSpaceDN w:val="0"/>
        <w:adjustRightInd w:val="0"/>
        <w:jc w:val="both"/>
        <w:rPr>
          <w:szCs w:val="28"/>
          <w:lang w:eastAsia="ru-RU"/>
        </w:rPr>
      </w:pPr>
      <w:r w:rsidRPr="00C04E1C">
        <w:rPr>
          <w:szCs w:val="28"/>
          <w:lang w:eastAsia="ru-RU"/>
        </w:rPr>
        <w:t>10. Окончательный расчет по муниципальному контракту, договору и выделение субсидии производятся на основании представленных в департамент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9F6EE7" w:rsidRPr="00C04E1C" w:rsidRDefault="009F6EE7" w:rsidP="009F6EE7">
      <w:pPr>
        <w:autoSpaceDE w:val="0"/>
        <w:autoSpaceDN w:val="0"/>
        <w:adjustRightInd w:val="0"/>
        <w:jc w:val="both"/>
        <w:rPr>
          <w:szCs w:val="28"/>
          <w:lang w:eastAsia="ru-RU"/>
        </w:rPr>
      </w:pPr>
      <w:r w:rsidRPr="00C04E1C">
        <w:rPr>
          <w:szCs w:val="28"/>
          <w:lang w:eastAsia="ru-RU"/>
        </w:rPr>
        <w:t>11. В случае уменьшения суммы субсидии муниципальным образованиям области в результате экономии по итогам проведения закупок оборудования и работ по объектам Программы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с последующим заключением дополнительного соглашения.</w:t>
      </w:r>
    </w:p>
    <w:p w:rsidR="009F6EE7" w:rsidRPr="00C04E1C" w:rsidRDefault="009F6EE7" w:rsidP="009F6EE7">
      <w:pPr>
        <w:autoSpaceDE w:val="0"/>
        <w:autoSpaceDN w:val="0"/>
        <w:adjustRightInd w:val="0"/>
        <w:jc w:val="both"/>
        <w:rPr>
          <w:szCs w:val="28"/>
          <w:lang w:eastAsia="ru-RU"/>
        </w:rPr>
      </w:pPr>
      <w:r w:rsidRPr="00C04E1C">
        <w:rPr>
          <w:szCs w:val="28"/>
          <w:lang w:eastAsia="ru-RU"/>
        </w:rPr>
        <w:lastRenderedPageBreak/>
        <w:t xml:space="preserve">12. Субсидия расходуется только по целевому назначению для финансирования работ, указанных в пунктах 2, 3 настоящего Порядка. </w:t>
      </w:r>
    </w:p>
    <w:p w:rsidR="009F6EE7" w:rsidRPr="00C04E1C" w:rsidRDefault="009F6EE7" w:rsidP="009F6EE7">
      <w:pPr>
        <w:overflowPunct w:val="0"/>
        <w:autoSpaceDE w:val="0"/>
        <w:autoSpaceDN w:val="0"/>
        <w:adjustRightInd w:val="0"/>
        <w:jc w:val="both"/>
        <w:textAlignment w:val="baseline"/>
        <w:rPr>
          <w:szCs w:val="28"/>
          <w:lang w:eastAsia="ru-RU"/>
        </w:rPr>
      </w:pPr>
      <w:r w:rsidRPr="00C04E1C">
        <w:rPr>
          <w:szCs w:val="28"/>
          <w:lang w:eastAsia="ru-RU"/>
        </w:rPr>
        <w:t>13. Ответственность за нецелевое расходование субсидии возлагается на органы местного самоуправления муниципальных районов (городских округов, городских поселений) области. В случае нецелевого использования субсидии к муниципальному образованию применяются бюджетные меры принуждения, предусмотренные законодательством Российской Федерации.</w:t>
      </w:r>
    </w:p>
    <w:p w:rsidR="009F6EE7" w:rsidRPr="00C04E1C" w:rsidRDefault="009F6EE7" w:rsidP="009F6EE7">
      <w:pPr>
        <w:autoSpaceDE w:val="0"/>
        <w:autoSpaceDN w:val="0"/>
        <w:adjustRightInd w:val="0"/>
        <w:jc w:val="both"/>
        <w:rPr>
          <w:szCs w:val="28"/>
          <w:lang w:eastAsia="ru-RU"/>
        </w:rPr>
      </w:pPr>
      <w:r w:rsidRPr="00C04E1C">
        <w:rPr>
          <w:szCs w:val="28"/>
          <w:lang w:eastAsia="ru-RU"/>
        </w:rPr>
        <w:t>14. Контроль за соблюдением органами местного самоуправления муниципальных образований области условий предоставления субсидии осуществляют департамент и орган государственного финансового контроля Ярославской области.</w:t>
      </w:r>
    </w:p>
    <w:p w:rsidR="009F6EE7" w:rsidRPr="00C04E1C" w:rsidRDefault="009F6EE7" w:rsidP="009F6EE7">
      <w:pPr>
        <w:tabs>
          <w:tab w:val="left" w:pos="4530"/>
        </w:tabs>
        <w:jc w:val="both"/>
        <w:rPr>
          <w:szCs w:val="28"/>
          <w:lang w:eastAsia="ru-RU"/>
        </w:rPr>
      </w:pPr>
      <w:r w:rsidRPr="00C04E1C">
        <w:rPr>
          <w:szCs w:val="28"/>
          <w:lang w:eastAsia="ru-RU"/>
        </w:rPr>
        <w:t xml:space="preserve">15. Оценка результативности и эффективности использования субсидии осуществляется ответственным исполнителем Программы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 </w:t>
      </w:r>
    </w:p>
    <w:p w:rsidR="009F6EE7" w:rsidRPr="00C04E1C" w:rsidRDefault="009F6EE7" w:rsidP="009F6EE7">
      <w:pPr>
        <w:tabs>
          <w:tab w:val="left" w:pos="4530"/>
        </w:tabs>
        <w:jc w:val="both"/>
        <w:rPr>
          <w:szCs w:val="28"/>
          <w:lang w:eastAsia="ru-RU"/>
        </w:rPr>
      </w:pPr>
      <w:r w:rsidRPr="00C04E1C">
        <w:rPr>
          <w:szCs w:val="28"/>
          <w:lang w:eastAsia="ru-RU"/>
        </w:rPr>
        <w:t>Показатель результативности использования субсидии (Р) рассчитывается по формуле:</w:t>
      </w:r>
    </w:p>
    <w:p w:rsidR="009F6EE7" w:rsidRPr="00C04E1C" w:rsidRDefault="009F6EE7" w:rsidP="009F6EE7">
      <w:pPr>
        <w:jc w:val="center"/>
        <w:rPr>
          <w:szCs w:val="28"/>
          <w:lang w:eastAsia="ru-RU"/>
        </w:rPr>
      </w:pPr>
    </w:p>
    <w:tbl>
      <w:tblPr>
        <w:tblW w:w="0" w:type="auto"/>
        <w:tblLook w:val="04A0" w:firstRow="1" w:lastRow="0" w:firstColumn="1" w:lastColumn="0" w:noHBand="0" w:noVBand="1"/>
      </w:tblPr>
      <w:tblGrid>
        <w:gridCol w:w="3189"/>
        <w:gridCol w:w="3190"/>
        <w:gridCol w:w="3191"/>
      </w:tblGrid>
      <w:tr w:rsidR="009F6EE7" w:rsidRPr="00C04E1C" w:rsidTr="00931A4F">
        <w:tc>
          <w:tcPr>
            <w:tcW w:w="3190" w:type="dxa"/>
            <w:vMerge w:val="restart"/>
            <w:shd w:val="clear" w:color="auto" w:fill="auto"/>
            <w:vAlign w:val="center"/>
          </w:tcPr>
          <w:p w:rsidR="009F6EE7" w:rsidRPr="00C04E1C" w:rsidRDefault="009F6EE7" w:rsidP="00931A4F">
            <w:pPr>
              <w:ind w:firstLine="0"/>
              <w:jc w:val="right"/>
              <w:rPr>
                <w:szCs w:val="28"/>
                <w:lang w:eastAsia="ru-RU"/>
              </w:rPr>
            </w:pPr>
            <w:r w:rsidRPr="00C04E1C">
              <w:rPr>
                <w:szCs w:val="28"/>
                <w:lang w:eastAsia="ru-RU"/>
              </w:rPr>
              <w:t>Р =</w:t>
            </w:r>
          </w:p>
        </w:tc>
        <w:tc>
          <w:tcPr>
            <w:tcW w:w="3190" w:type="dxa"/>
            <w:tcBorders>
              <w:bottom w:val="single" w:sz="4" w:space="0" w:color="auto"/>
            </w:tcBorders>
            <w:shd w:val="clear" w:color="auto" w:fill="auto"/>
          </w:tcPr>
          <w:p w:rsidR="009F6EE7" w:rsidRPr="00C04E1C" w:rsidRDefault="009F6EE7" w:rsidP="00931A4F">
            <w:pPr>
              <w:ind w:firstLine="0"/>
              <w:jc w:val="center"/>
              <w:rPr>
                <w:szCs w:val="28"/>
                <w:lang w:eastAsia="ru-RU"/>
              </w:rPr>
            </w:pPr>
            <w:r w:rsidRPr="00C04E1C">
              <w:rPr>
                <w:szCs w:val="28"/>
                <w:lang w:eastAsia="ru-RU"/>
              </w:rPr>
              <w:t>SUM Ki × (Xi факт./ Xi план.)</w:t>
            </w:r>
          </w:p>
        </w:tc>
        <w:tc>
          <w:tcPr>
            <w:tcW w:w="3191" w:type="dxa"/>
            <w:vMerge w:val="restart"/>
            <w:shd w:val="clear" w:color="auto" w:fill="auto"/>
            <w:vAlign w:val="center"/>
          </w:tcPr>
          <w:p w:rsidR="009F6EE7" w:rsidRPr="00C04E1C" w:rsidRDefault="009F6EE7" w:rsidP="00931A4F">
            <w:pPr>
              <w:ind w:firstLine="0"/>
              <w:rPr>
                <w:szCs w:val="28"/>
                <w:lang w:eastAsia="ru-RU"/>
              </w:rPr>
            </w:pPr>
            <w:r w:rsidRPr="00C04E1C">
              <w:rPr>
                <w:szCs w:val="28"/>
                <w:lang w:eastAsia="ru-RU"/>
              </w:rPr>
              <w:t>× 100 %,</w:t>
            </w:r>
          </w:p>
        </w:tc>
      </w:tr>
      <w:tr w:rsidR="009F6EE7" w:rsidRPr="00C04E1C" w:rsidTr="00931A4F">
        <w:tc>
          <w:tcPr>
            <w:tcW w:w="3190" w:type="dxa"/>
            <w:vMerge/>
            <w:shd w:val="clear" w:color="auto" w:fill="auto"/>
          </w:tcPr>
          <w:p w:rsidR="009F6EE7" w:rsidRPr="00C04E1C" w:rsidRDefault="009F6EE7" w:rsidP="00931A4F">
            <w:pPr>
              <w:ind w:firstLine="0"/>
              <w:jc w:val="center"/>
              <w:rPr>
                <w:szCs w:val="28"/>
                <w:lang w:eastAsia="ru-RU"/>
              </w:rPr>
            </w:pPr>
          </w:p>
        </w:tc>
        <w:tc>
          <w:tcPr>
            <w:tcW w:w="3190" w:type="dxa"/>
            <w:tcBorders>
              <w:top w:val="single" w:sz="4" w:space="0" w:color="auto"/>
            </w:tcBorders>
            <w:shd w:val="clear" w:color="auto" w:fill="auto"/>
          </w:tcPr>
          <w:p w:rsidR="009F6EE7" w:rsidRPr="00C04E1C" w:rsidRDefault="009F6EE7" w:rsidP="00931A4F">
            <w:pPr>
              <w:ind w:firstLine="0"/>
              <w:jc w:val="center"/>
              <w:rPr>
                <w:szCs w:val="28"/>
                <w:lang w:eastAsia="ru-RU"/>
              </w:rPr>
            </w:pPr>
            <w:r w:rsidRPr="00C04E1C">
              <w:rPr>
                <w:szCs w:val="28"/>
                <w:lang w:eastAsia="ru-RU"/>
              </w:rPr>
              <w:t>№</w:t>
            </w:r>
          </w:p>
        </w:tc>
        <w:tc>
          <w:tcPr>
            <w:tcW w:w="3191" w:type="dxa"/>
            <w:vMerge/>
            <w:shd w:val="clear" w:color="auto" w:fill="auto"/>
          </w:tcPr>
          <w:p w:rsidR="009F6EE7" w:rsidRPr="00C04E1C" w:rsidRDefault="009F6EE7" w:rsidP="00931A4F">
            <w:pPr>
              <w:ind w:firstLine="0"/>
              <w:jc w:val="center"/>
              <w:rPr>
                <w:szCs w:val="28"/>
                <w:lang w:eastAsia="ru-RU"/>
              </w:rPr>
            </w:pPr>
          </w:p>
        </w:tc>
      </w:tr>
    </w:tbl>
    <w:p w:rsidR="009F6EE7" w:rsidRPr="00C04E1C" w:rsidRDefault="009F6EE7" w:rsidP="009F6EE7">
      <w:pPr>
        <w:jc w:val="center"/>
        <w:rPr>
          <w:szCs w:val="28"/>
          <w:lang w:eastAsia="ru-RU"/>
        </w:rPr>
      </w:pPr>
    </w:p>
    <w:p w:rsidR="009F6EE7" w:rsidRPr="00C04E1C" w:rsidRDefault="009F6EE7" w:rsidP="009F6EE7">
      <w:pPr>
        <w:ind w:firstLine="0"/>
        <w:jc w:val="both"/>
        <w:rPr>
          <w:szCs w:val="28"/>
          <w:lang w:eastAsia="ru-RU"/>
        </w:rPr>
      </w:pPr>
      <w:r w:rsidRPr="00C04E1C">
        <w:rPr>
          <w:szCs w:val="28"/>
          <w:lang w:eastAsia="ru-RU"/>
        </w:rPr>
        <w:t>где:</w:t>
      </w:r>
    </w:p>
    <w:p w:rsidR="009F6EE7" w:rsidRPr="00C04E1C" w:rsidRDefault="009F6EE7" w:rsidP="009F6EE7">
      <w:pPr>
        <w:jc w:val="both"/>
        <w:rPr>
          <w:szCs w:val="28"/>
          <w:lang w:eastAsia="ru-RU"/>
        </w:rPr>
      </w:pPr>
      <w:r w:rsidRPr="00C04E1C">
        <w:rPr>
          <w:szCs w:val="28"/>
          <w:lang w:eastAsia="ru-RU"/>
        </w:rPr>
        <w:t>Ki – весовой коэффициент параметра;</w:t>
      </w:r>
    </w:p>
    <w:p w:rsidR="009F6EE7" w:rsidRPr="00C04E1C" w:rsidRDefault="009F6EE7" w:rsidP="009F6EE7">
      <w:pPr>
        <w:jc w:val="both"/>
        <w:rPr>
          <w:szCs w:val="28"/>
          <w:lang w:eastAsia="ru-RU"/>
        </w:rPr>
      </w:pPr>
      <w:r w:rsidRPr="00C04E1C">
        <w:rPr>
          <w:szCs w:val="28"/>
          <w:lang w:eastAsia="ru-RU"/>
        </w:rPr>
        <w:t>Xi факт – фактическое значение i-го целевого показателя за отчетный период;</w:t>
      </w:r>
    </w:p>
    <w:p w:rsidR="009F6EE7" w:rsidRPr="00C04E1C" w:rsidRDefault="009F6EE7" w:rsidP="009F6EE7">
      <w:pPr>
        <w:jc w:val="both"/>
        <w:rPr>
          <w:szCs w:val="28"/>
          <w:lang w:eastAsia="ru-RU"/>
        </w:rPr>
      </w:pPr>
      <w:r w:rsidRPr="00C04E1C">
        <w:rPr>
          <w:szCs w:val="28"/>
          <w:lang w:eastAsia="ru-RU"/>
        </w:rPr>
        <w:t>Xi план. – плановое (целевое) значение целевого показателя за отчетный период;</w:t>
      </w:r>
    </w:p>
    <w:p w:rsidR="009F6EE7" w:rsidRPr="00C04E1C" w:rsidRDefault="009F6EE7" w:rsidP="009F6EE7">
      <w:pPr>
        <w:jc w:val="both"/>
        <w:rPr>
          <w:szCs w:val="28"/>
          <w:lang w:eastAsia="ru-RU"/>
        </w:rPr>
      </w:pPr>
      <w:r w:rsidRPr="00C04E1C">
        <w:rPr>
          <w:szCs w:val="28"/>
          <w:lang w:eastAsia="ru-RU"/>
        </w:rPr>
        <w:t xml:space="preserve">№ – количество мероприятий.  </w:t>
      </w:r>
    </w:p>
    <w:p w:rsidR="009F6EE7" w:rsidRPr="00C04E1C" w:rsidRDefault="009F6EE7" w:rsidP="009F6EE7">
      <w:pPr>
        <w:jc w:val="both"/>
        <w:rPr>
          <w:szCs w:val="28"/>
          <w:lang w:eastAsia="ru-RU"/>
        </w:rPr>
      </w:pPr>
      <w:r w:rsidRPr="00C04E1C">
        <w:rPr>
          <w:szCs w:val="28"/>
          <w:lang w:eastAsia="ru-RU"/>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9F6EE7" w:rsidRPr="00C04E1C" w:rsidRDefault="009F6EE7" w:rsidP="009F6EE7">
      <w:pPr>
        <w:jc w:val="both"/>
        <w:rPr>
          <w:szCs w:val="28"/>
          <w:lang w:eastAsia="ru-RU"/>
        </w:rPr>
      </w:pPr>
      <w:r w:rsidRPr="00C04E1C">
        <w:rPr>
          <w:szCs w:val="28"/>
          <w:lang w:eastAsia="ru-RU"/>
        </w:rPr>
        <w:t>Показатель эффективности использования субсидии (R) рассчитывается по формуле:</w:t>
      </w:r>
    </w:p>
    <w:p w:rsidR="009F6EE7" w:rsidRPr="00C04E1C" w:rsidRDefault="009F6EE7" w:rsidP="009F6EE7">
      <w:pPr>
        <w:jc w:val="both"/>
        <w:rPr>
          <w:szCs w:val="28"/>
          <w:lang w:eastAsia="ru-RU"/>
        </w:rPr>
      </w:pPr>
    </w:p>
    <w:p w:rsidR="009F6EE7" w:rsidRPr="00C04E1C" w:rsidRDefault="009F6EE7" w:rsidP="009F6EE7">
      <w:pPr>
        <w:ind w:firstLine="0"/>
        <w:jc w:val="center"/>
        <w:rPr>
          <w:szCs w:val="28"/>
          <w:lang w:eastAsia="ru-RU"/>
        </w:rPr>
      </w:pPr>
      <w:r w:rsidRPr="00C04E1C">
        <w:rPr>
          <w:szCs w:val="28"/>
          <w:lang w:eastAsia="ru-RU"/>
        </w:rPr>
        <w:t>R = Р / (F тек. / F план.),</w:t>
      </w:r>
    </w:p>
    <w:p w:rsidR="009F6EE7" w:rsidRPr="00C04E1C" w:rsidRDefault="009F6EE7" w:rsidP="009F6EE7">
      <w:pPr>
        <w:jc w:val="center"/>
        <w:rPr>
          <w:szCs w:val="28"/>
          <w:lang w:eastAsia="ru-RU"/>
        </w:rPr>
      </w:pPr>
    </w:p>
    <w:p w:rsidR="009F6EE7" w:rsidRPr="00C04E1C" w:rsidRDefault="009F6EE7" w:rsidP="009F6EE7">
      <w:pPr>
        <w:ind w:firstLine="0"/>
        <w:jc w:val="both"/>
        <w:rPr>
          <w:szCs w:val="28"/>
          <w:lang w:eastAsia="ru-RU"/>
        </w:rPr>
      </w:pPr>
      <w:r w:rsidRPr="00C04E1C">
        <w:rPr>
          <w:szCs w:val="28"/>
          <w:lang w:eastAsia="ru-RU"/>
        </w:rPr>
        <w:t>где:</w:t>
      </w:r>
    </w:p>
    <w:p w:rsidR="009F6EE7" w:rsidRPr="00C04E1C" w:rsidRDefault="009F6EE7" w:rsidP="009F6EE7">
      <w:pPr>
        <w:jc w:val="both"/>
        <w:rPr>
          <w:szCs w:val="28"/>
          <w:lang w:eastAsia="ru-RU"/>
        </w:rPr>
      </w:pPr>
      <w:r w:rsidRPr="00C04E1C">
        <w:rPr>
          <w:szCs w:val="28"/>
          <w:lang w:eastAsia="ru-RU"/>
        </w:rPr>
        <w:t>Р – показатель результативности использования субсидии;</w:t>
      </w:r>
    </w:p>
    <w:p w:rsidR="009F6EE7" w:rsidRPr="00C04E1C" w:rsidRDefault="009F6EE7" w:rsidP="009F6EE7">
      <w:pPr>
        <w:jc w:val="both"/>
        <w:rPr>
          <w:szCs w:val="28"/>
          <w:lang w:eastAsia="ru-RU"/>
        </w:rPr>
      </w:pPr>
      <w:r w:rsidRPr="00C04E1C">
        <w:rPr>
          <w:szCs w:val="28"/>
          <w:lang w:eastAsia="ru-RU"/>
        </w:rPr>
        <w:t>F тек. – фактическая сумма финансирования за отчетный период;</w:t>
      </w:r>
    </w:p>
    <w:p w:rsidR="009F6EE7" w:rsidRPr="00C04E1C" w:rsidRDefault="009F6EE7" w:rsidP="009F6EE7">
      <w:pPr>
        <w:jc w:val="both"/>
        <w:rPr>
          <w:szCs w:val="28"/>
          <w:lang w:eastAsia="ru-RU"/>
        </w:rPr>
      </w:pPr>
      <w:r w:rsidRPr="00C04E1C">
        <w:rPr>
          <w:szCs w:val="28"/>
          <w:lang w:eastAsia="ru-RU"/>
        </w:rPr>
        <w:t>F план. – плановая сумма финансирования за отчетный период.</w:t>
      </w:r>
    </w:p>
    <w:p w:rsidR="009F6EE7" w:rsidRPr="00C04E1C" w:rsidRDefault="009F6EE7" w:rsidP="009F6EE7">
      <w:pPr>
        <w:jc w:val="both"/>
        <w:rPr>
          <w:szCs w:val="28"/>
          <w:lang w:eastAsia="ru-RU"/>
        </w:rPr>
      </w:pPr>
      <w:r w:rsidRPr="00C04E1C">
        <w:rPr>
          <w:szCs w:val="28"/>
          <w:lang w:eastAsia="ru-RU"/>
        </w:rPr>
        <w:t xml:space="preserve">При значении показателя эффективности использования субсидии 95 процентов и более эффективность реализации Программы </w:t>
      </w:r>
      <w:r w:rsidRPr="00C04E1C">
        <w:rPr>
          <w:szCs w:val="28"/>
          <w:lang w:eastAsia="ru-RU"/>
        </w:rPr>
        <w:lastRenderedPageBreak/>
        <w:t>и использования субсидии признается высокой, при значении от 85 до 95 процентов – средней, при значении 85 процентов и менее – низкой.</w:t>
      </w:r>
    </w:p>
    <w:p w:rsidR="009F6EE7" w:rsidRPr="00C04E1C" w:rsidRDefault="009F6EE7" w:rsidP="009F6EE7">
      <w:pPr>
        <w:jc w:val="both"/>
        <w:rPr>
          <w:szCs w:val="28"/>
          <w:lang w:eastAsia="ru-RU"/>
        </w:rPr>
      </w:pPr>
      <w:r w:rsidRPr="00C04E1C">
        <w:rPr>
          <w:szCs w:val="28"/>
          <w:lang w:eastAsia="ru-RU"/>
        </w:rPr>
        <w:t>При расчете результативности, эффективности использования субсидии применяются следующие целевые показатели и их весовые коэффициенты:</w:t>
      </w:r>
    </w:p>
    <w:p w:rsidR="009F6EE7" w:rsidRPr="00C04E1C" w:rsidRDefault="009F6EE7" w:rsidP="009F6EE7">
      <w:pPr>
        <w:jc w:val="both"/>
        <w:rPr>
          <w:szCs w:val="28"/>
          <w:lang w:eastAsia="ru-RU"/>
        </w:rPr>
      </w:pPr>
    </w:p>
    <w:tbl>
      <w:tblPr>
        <w:tblW w:w="5000" w:type="pct"/>
        <w:tblCellMar>
          <w:left w:w="120" w:type="dxa"/>
          <w:right w:w="120" w:type="dxa"/>
        </w:tblCellMar>
        <w:tblLook w:val="0000" w:firstRow="0" w:lastRow="0" w:firstColumn="0" w:lastColumn="0" w:noHBand="0" w:noVBand="0"/>
      </w:tblPr>
      <w:tblGrid>
        <w:gridCol w:w="618"/>
        <w:gridCol w:w="7005"/>
        <w:gridCol w:w="1971"/>
      </w:tblGrid>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 п/п</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Наименование целевого показателя</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Значение весового коэффициента</w:t>
            </w:r>
          </w:p>
        </w:tc>
      </w:tr>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1.</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rPr>
                <w:szCs w:val="28"/>
                <w:lang w:eastAsia="ru-RU"/>
              </w:rPr>
            </w:pPr>
            <w:r w:rsidRPr="00C04E1C">
              <w:rPr>
                <w:szCs w:val="28"/>
                <w:lang w:eastAsia="ru-RU"/>
              </w:rPr>
              <w:t>Доля технической готовности мероприятия (объекта), %</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0,5</w:t>
            </w:r>
          </w:p>
        </w:tc>
      </w:tr>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2.</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rPr>
                <w:szCs w:val="28"/>
                <w:lang w:eastAsia="ru-RU"/>
              </w:rPr>
            </w:pPr>
            <w:r w:rsidRPr="00C04E1C">
              <w:rPr>
                <w:szCs w:val="28"/>
                <w:lang w:eastAsia="ru-RU"/>
              </w:rPr>
              <w:t>Доля освоенных средств в общей сметной стоимости мероприятия (объекта), %</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0,5</w:t>
            </w:r>
          </w:p>
        </w:tc>
      </w:tr>
      <w:tr w:rsidR="009F6EE7" w:rsidRPr="00C04E1C" w:rsidTr="00931A4F">
        <w:tc>
          <w:tcPr>
            <w:tcW w:w="3973" w:type="pct"/>
            <w:gridSpan w:val="2"/>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rPr>
                <w:szCs w:val="28"/>
                <w:lang w:eastAsia="ru-RU"/>
              </w:rPr>
            </w:pPr>
            <w:r w:rsidRPr="00C04E1C">
              <w:rPr>
                <w:szCs w:val="28"/>
                <w:lang w:eastAsia="ru-RU"/>
              </w:rPr>
              <w:t>Итого</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931A4F">
            <w:pPr>
              <w:ind w:firstLine="0"/>
              <w:jc w:val="center"/>
              <w:rPr>
                <w:szCs w:val="28"/>
                <w:lang w:eastAsia="ru-RU"/>
              </w:rPr>
            </w:pPr>
            <w:r w:rsidRPr="00C04E1C">
              <w:rPr>
                <w:szCs w:val="28"/>
                <w:lang w:eastAsia="ru-RU"/>
              </w:rPr>
              <w:t>1,0</w:t>
            </w:r>
          </w:p>
        </w:tc>
      </w:tr>
    </w:tbl>
    <w:p w:rsidR="009F6EE7" w:rsidRPr="00C04E1C" w:rsidRDefault="009F6EE7" w:rsidP="009F6EE7">
      <w:pPr>
        <w:autoSpaceDE w:val="0"/>
        <w:autoSpaceDN w:val="0"/>
        <w:adjustRightInd w:val="0"/>
        <w:jc w:val="both"/>
        <w:rPr>
          <w:szCs w:val="28"/>
          <w:lang w:eastAsia="ru-RU"/>
        </w:rPr>
      </w:pPr>
    </w:p>
    <w:p w:rsidR="009F6EE7" w:rsidRDefault="009F6EE7" w:rsidP="0067755D">
      <w:pPr>
        <w:autoSpaceDE w:val="0"/>
        <w:autoSpaceDN w:val="0"/>
        <w:adjustRightInd w:val="0"/>
        <w:jc w:val="both"/>
        <w:rPr>
          <w:szCs w:val="28"/>
          <w:lang w:eastAsia="ru-RU"/>
        </w:rPr>
      </w:pPr>
      <w:r w:rsidRPr="00C04E1C">
        <w:rPr>
          <w:szCs w:val="28"/>
          <w:lang w:eastAsia="ru-RU"/>
        </w:rPr>
        <w:t>Перечень и значение результатов в отношении каждого муниципального образования области в разрезе мероприятий Программы устанавливаются в приложении к соглашению.</w:t>
      </w:r>
    </w:p>
    <w:sectPr w:rsidR="009F6EE7" w:rsidSect="00EB61FE">
      <w:headerReference w:type="default" r:id="rId7"/>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94F" w:rsidRDefault="00F4194F" w:rsidP="0067755D">
      <w:r>
        <w:separator/>
      </w:r>
    </w:p>
  </w:endnote>
  <w:endnote w:type="continuationSeparator" w:id="0">
    <w:p w:rsidR="00F4194F" w:rsidRDefault="00F4194F" w:rsidP="0067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94F" w:rsidRDefault="00F4194F" w:rsidP="0067755D">
      <w:r>
        <w:separator/>
      </w:r>
    </w:p>
  </w:footnote>
  <w:footnote w:type="continuationSeparator" w:id="0">
    <w:p w:rsidR="00F4194F" w:rsidRDefault="00F4194F" w:rsidP="0067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360513"/>
    </w:sdtPr>
    <w:sdtEndPr/>
    <w:sdtContent>
      <w:p w:rsidR="0067755D" w:rsidRDefault="00F06E5C" w:rsidP="004165FA">
        <w:pPr>
          <w:pStyle w:val="a4"/>
          <w:ind w:firstLine="0"/>
          <w:jc w:val="center"/>
        </w:pPr>
        <w:r>
          <w:fldChar w:fldCharType="begin"/>
        </w:r>
        <w:r w:rsidR="0067755D">
          <w:instrText>PAGE   \* MERGEFORMAT</w:instrText>
        </w:r>
        <w:r>
          <w:fldChar w:fldCharType="separate"/>
        </w:r>
        <w:r w:rsidR="008A1537">
          <w:rPr>
            <w:noProof/>
          </w:rPr>
          <w:t>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EE7"/>
    <w:rsid w:val="00054AA5"/>
    <w:rsid w:val="00184A06"/>
    <w:rsid w:val="001B332A"/>
    <w:rsid w:val="003615DA"/>
    <w:rsid w:val="003F32A6"/>
    <w:rsid w:val="004165FA"/>
    <w:rsid w:val="005A680F"/>
    <w:rsid w:val="0067755D"/>
    <w:rsid w:val="006B2A72"/>
    <w:rsid w:val="0073076F"/>
    <w:rsid w:val="00776E5D"/>
    <w:rsid w:val="008A1537"/>
    <w:rsid w:val="009F6EE7"/>
    <w:rsid w:val="00C34039"/>
    <w:rsid w:val="00C619A7"/>
    <w:rsid w:val="00DD2F91"/>
    <w:rsid w:val="00EB61FE"/>
    <w:rsid w:val="00F06E5C"/>
    <w:rsid w:val="00F339C2"/>
    <w:rsid w:val="00F41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EE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6EE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styleId="a4">
    <w:name w:val="header"/>
    <w:basedOn w:val="a"/>
    <w:link w:val="a5"/>
    <w:uiPriority w:val="99"/>
    <w:unhideWhenUsed/>
    <w:rsid w:val="0067755D"/>
    <w:pPr>
      <w:tabs>
        <w:tab w:val="center" w:pos="4677"/>
        <w:tab w:val="right" w:pos="9355"/>
      </w:tabs>
    </w:pPr>
  </w:style>
  <w:style w:type="character" w:customStyle="1" w:styleId="a5">
    <w:name w:val="Верхний колонтитул Знак"/>
    <w:basedOn w:val="a0"/>
    <w:link w:val="a4"/>
    <w:uiPriority w:val="99"/>
    <w:rsid w:val="0067755D"/>
    <w:rPr>
      <w:rFonts w:ascii="Times New Roman" w:eastAsia="Times New Roman" w:hAnsi="Times New Roman" w:cs="Calibri"/>
      <w:sz w:val="28"/>
    </w:rPr>
  </w:style>
  <w:style w:type="paragraph" w:styleId="a6">
    <w:name w:val="footer"/>
    <w:basedOn w:val="a"/>
    <w:link w:val="a7"/>
    <w:uiPriority w:val="99"/>
    <w:unhideWhenUsed/>
    <w:rsid w:val="0067755D"/>
    <w:pPr>
      <w:tabs>
        <w:tab w:val="center" w:pos="4677"/>
        <w:tab w:val="right" w:pos="9355"/>
      </w:tabs>
    </w:pPr>
  </w:style>
  <w:style w:type="character" w:customStyle="1" w:styleId="a7">
    <w:name w:val="Нижний колонтитул Знак"/>
    <w:basedOn w:val="a0"/>
    <w:link w:val="a6"/>
    <w:uiPriority w:val="99"/>
    <w:rsid w:val="0067755D"/>
    <w:rPr>
      <w:rFonts w:ascii="Times New Roman" w:eastAsia="Times New Roman" w:hAnsi="Times New Roman" w:cs="Calibri"/>
      <w:sz w:val="28"/>
    </w:rPr>
  </w:style>
  <w:style w:type="paragraph" w:styleId="a8">
    <w:name w:val="Balloon Text"/>
    <w:basedOn w:val="a"/>
    <w:link w:val="a9"/>
    <w:uiPriority w:val="99"/>
    <w:semiHidden/>
    <w:unhideWhenUsed/>
    <w:rsid w:val="00EB61FE"/>
    <w:rPr>
      <w:rFonts w:ascii="Tahoma" w:hAnsi="Tahoma" w:cs="Tahoma"/>
      <w:sz w:val="16"/>
      <w:szCs w:val="16"/>
    </w:rPr>
  </w:style>
  <w:style w:type="character" w:customStyle="1" w:styleId="a9">
    <w:name w:val="Текст выноски Знак"/>
    <w:basedOn w:val="a0"/>
    <w:link w:val="a8"/>
    <w:uiPriority w:val="99"/>
    <w:semiHidden/>
    <w:rsid w:val="00EB61F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EE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6EE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styleId="a4">
    <w:name w:val="header"/>
    <w:basedOn w:val="a"/>
    <w:link w:val="a5"/>
    <w:uiPriority w:val="99"/>
    <w:unhideWhenUsed/>
    <w:rsid w:val="0067755D"/>
    <w:pPr>
      <w:tabs>
        <w:tab w:val="center" w:pos="4677"/>
        <w:tab w:val="right" w:pos="9355"/>
      </w:tabs>
    </w:pPr>
  </w:style>
  <w:style w:type="character" w:customStyle="1" w:styleId="a5">
    <w:name w:val="Верхний колонтитул Знак"/>
    <w:basedOn w:val="a0"/>
    <w:link w:val="a4"/>
    <w:uiPriority w:val="99"/>
    <w:rsid w:val="0067755D"/>
    <w:rPr>
      <w:rFonts w:ascii="Times New Roman" w:eastAsia="Times New Roman" w:hAnsi="Times New Roman" w:cs="Calibri"/>
      <w:sz w:val="28"/>
    </w:rPr>
  </w:style>
  <w:style w:type="paragraph" w:styleId="a6">
    <w:name w:val="footer"/>
    <w:basedOn w:val="a"/>
    <w:link w:val="a7"/>
    <w:uiPriority w:val="99"/>
    <w:unhideWhenUsed/>
    <w:rsid w:val="0067755D"/>
    <w:pPr>
      <w:tabs>
        <w:tab w:val="center" w:pos="4677"/>
        <w:tab w:val="right" w:pos="9355"/>
      </w:tabs>
    </w:pPr>
  </w:style>
  <w:style w:type="character" w:customStyle="1" w:styleId="a7">
    <w:name w:val="Нижний колонтитул Знак"/>
    <w:basedOn w:val="a0"/>
    <w:link w:val="a6"/>
    <w:uiPriority w:val="99"/>
    <w:rsid w:val="0067755D"/>
    <w:rPr>
      <w:rFonts w:ascii="Times New Roman" w:eastAsia="Times New Roman" w:hAnsi="Times New Roman" w:cs="Calibri"/>
      <w:sz w:val="28"/>
    </w:rPr>
  </w:style>
  <w:style w:type="paragraph" w:styleId="a8">
    <w:name w:val="Balloon Text"/>
    <w:basedOn w:val="a"/>
    <w:link w:val="a9"/>
    <w:uiPriority w:val="99"/>
    <w:semiHidden/>
    <w:unhideWhenUsed/>
    <w:rsid w:val="00EB61FE"/>
    <w:rPr>
      <w:rFonts w:ascii="Tahoma" w:hAnsi="Tahoma" w:cs="Tahoma"/>
      <w:sz w:val="16"/>
      <w:szCs w:val="16"/>
    </w:rPr>
  </w:style>
  <w:style w:type="character" w:customStyle="1" w:styleId="a9">
    <w:name w:val="Текст выноски Знак"/>
    <w:basedOn w:val="a0"/>
    <w:link w:val="a8"/>
    <w:uiPriority w:val="99"/>
    <w:semiHidden/>
    <w:rsid w:val="00EB61F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3076</Words>
  <Characters>17538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 Татьяна Михайловна</dc:creator>
  <cp:lastModifiedBy>Молчанова Ольга Петровна</cp:lastModifiedBy>
  <cp:revision>2</cp:revision>
  <dcterms:created xsi:type="dcterms:W3CDTF">2021-11-01T06:58:00Z</dcterms:created>
  <dcterms:modified xsi:type="dcterms:W3CDTF">2021-11-01T06:58:00Z</dcterms:modified>
</cp:coreProperties>
</file>